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2B2532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28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აპრილი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proofErr w:type="gramEnd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C3CEC">
              <w:rPr>
                <w:rFonts w:ascii="Sylfaen" w:hAnsi="Sylfaen"/>
                <w:sz w:val="20"/>
                <w:szCs w:val="20"/>
                <w:lang w:val="ka-GE"/>
              </w:rPr>
              <w:t>ტრაქტორის</w:t>
            </w:r>
            <w:r w:rsidR="000C3CE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F7710D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137B8D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F7710D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3 </w:t>
            </w:r>
            <w:r w:rsidR="00F7710D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მაისი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2B2532" w:rsidP="00AB1BF7">
            <w:pPr>
              <w:spacing w:before="120" w:line="276" w:lineRule="auto"/>
              <w:jc w:val="center"/>
            </w:pPr>
            <w:r>
              <w:t>April 28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9C4307">
              <w:rPr>
                <w:rFonts w:ascii="Sylfaen" w:hAnsi="Sylfaen"/>
              </w:rPr>
              <w:t xml:space="preserve">tractor </w:t>
            </w:r>
            <w:bookmarkStart w:id="0" w:name="_GoBack"/>
            <w:bookmarkEnd w:id="0"/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F7710D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01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9C4307">
              <w:rPr>
                <w:rFonts w:ascii="Sylfaen" w:hAnsi="Sylfaen"/>
              </w:rPr>
              <w:t xml:space="preserve">tractor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>indicated tender number name in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F7710D">
              <w:rPr>
                <w:rFonts w:ascii="Sylfaen" w:hAnsi="Sylfaen"/>
                <w:b/>
                <w:bCs/>
                <w:color w:val="C00000"/>
              </w:rPr>
              <w:t>May</w:t>
            </w:r>
            <w:r w:rsidR="000A1904">
              <w:rPr>
                <w:rFonts w:ascii="Sylfaen" w:hAnsi="Sylfaen"/>
                <w:b/>
                <w:bCs/>
                <w:color w:val="C00000"/>
              </w:rPr>
              <w:t xml:space="preserve"> 3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0C3CEC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0A1904"/>
    <w:rsid w:val="000C3CEC"/>
    <w:rsid w:val="0010524F"/>
    <w:rsid w:val="0011172A"/>
    <w:rsid w:val="00112969"/>
    <w:rsid w:val="00133BA8"/>
    <w:rsid w:val="00137B8D"/>
    <w:rsid w:val="00156C0B"/>
    <w:rsid w:val="00174B2E"/>
    <w:rsid w:val="00186204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2532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4F3AC8"/>
    <w:rsid w:val="00522B1A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7710D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7D03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1B76-375B-4FF7-B623-C5405990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22</cp:revision>
  <cp:lastPrinted>2015-09-24T06:11:00Z</cp:lastPrinted>
  <dcterms:created xsi:type="dcterms:W3CDTF">2016-11-30T11:06:00Z</dcterms:created>
  <dcterms:modified xsi:type="dcterms:W3CDTF">2017-04-28T12:49:00Z</dcterms:modified>
</cp:coreProperties>
</file>